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MAHA Mtg March 11th,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Directors Absent-  Kory Karlander, Lonnie Scott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District and States- Jean needs help from D6 Directors for this coming weekend.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Feedback- Ref names need to be reported to game sheets prior to the tournament games for accuracy.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Games are not automatically populating to the semis and finals within gamesheets.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Split season teams- if you roster them, you are in control of them.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Associations need to abide by their own by-laws. Associations are responsible for any team in which they roster.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Art Kale- Referees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Nationals coming up in Kalamazoo this weekend. Last weekend went well at Southside except for a few parents fighting in the lobby.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District 6 will not be hosting any State tournaments next year. We don’t have to unless we want to.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Questions about tryout dates for 18U and JV T2. Tryout dates for JV vs 18U T2.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Holland is submitting new by-laws. Jordan Steger presented new by-law idea. Holland is restructuring the “board”. Rink wants to absorb some of the administration of the association. They will stay non-profit and would like to transition to new By-laws by the date of the T2 Fall tryouts.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Paul T made a motion to move the by-laws forward, seconded by Robyn Schutt, anonymously approved to move forward.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Frank Noonan- Registrar Report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We are still in March. If you are making new rosters for tournament teams we will have to make the existing team rosters dormant to make a new tournament roster.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April 1st new rosters.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Meeting adjourned at 7:25 pm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