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88" w:rsidRPr="00EB1088" w:rsidRDefault="00EB1088" w:rsidP="00EB1088">
      <w:pPr>
        <w:outlineLvl w:val="0"/>
        <w:rPr>
          <w:rStyle w:val="TitleChar"/>
        </w:rPr>
      </w:pPr>
      <w:r w:rsidRPr="00EB1088">
        <w:rPr>
          <w:noProof/>
          <w:lang w:val="en-CA"/>
        </w:rPr>
        <w:drawing>
          <wp:anchor distT="0" distB="0" distL="114300" distR="114300" simplePos="0" relativeHeight="251658240" behindDoc="0" locked="0" layoutInCell="1" allowOverlap="1">
            <wp:simplePos x="0" y="0"/>
            <wp:positionH relativeFrom="column">
              <wp:posOffset>4508500</wp:posOffset>
            </wp:positionH>
            <wp:positionV relativeFrom="paragraph">
              <wp:posOffset>0</wp:posOffset>
            </wp:positionV>
            <wp:extent cx="1600835" cy="1214755"/>
            <wp:effectExtent l="0" t="0" r="0" b="4445"/>
            <wp:wrapThrough wrapText="bothSides">
              <wp:wrapPolygon edited="0">
                <wp:start x="0" y="0"/>
                <wp:lineTo x="0" y="21340"/>
                <wp:lineTo x="21334" y="21340"/>
                <wp:lineTo x="2133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835" cy="121475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EB1088">
        <w:rPr>
          <w:rStyle w:val="TitleChar"/>
        </w:rPr>
        <w:t>TAXANDRIA</w:t>
      </w:r>
      <w:proofErr w:type="spellEnd"/>
      <w:r w:rsidRPr="00EB1088">
        <w:rPr>
          <w:rStyle w:val="TitleChar"/>
        </w:rPr>
        <w:t xml:space="preserve"> FALCONS SOCCER CLUB</w:t>
      </w:r>
    </w:p>
    <w:p w:rsidR="00EB1088" w:rsidRPr="00EB1088" w:rsidRDefault="00EB1088" w:rsidP="00EB1088">
      <w:pPr>
        <w:outlineLvl w:val="0"/>
        <w:rPr>
          <w:rStyle w:val="TitleChar"/>
          <w:sz w:val="22"/>
        </w:rPr>
      </w:pPr>
    </w:p>
    <w:p w:rsidR="00EB1088" w:rsidRPr="00EB1088" w:rsidRDefault="00EB1088" w:rsidP="00EB1088">
      <w:pPr>
        <w:outlineLvl w:val="0"/>
        <w:rPr>
          <w:rFonts w:eastAsiaTheme="minorHAnsi"/>
          <w:szCs w:val="24"/>
        </w:rPr>
      </w:pPr>
      <w:r w:rsidRPr="00EB1088">
        <w:rPr>
          <w:sz w:val="20"/>
        </w:rPr>
        <w:t>Effective: May, 2024</w:t>
      </w:r>
    </w:p>
    <w:p w:rsidR="00EB1088" w:rsidRPr="00EB1088" w:rsidRDefault="00EB1088"/>
    <w:p w:rsidR="008820B9" w:rsidRPr="00EB1088" w:rsidRDefault="0038062C" w:rsidP="00EB1088">
      <w:pPr>
        <w:jc w:val="both"/>
        <w:rPr>
          <w:sz w:val="20"/>
        </w:rPr>
      </w:pPr>
      <w:r w:rsidRPr="00EB1088">
        <w:rPr>
          <w:sz w:val="20"/>
        </w:rPr>
        <w:t xml:space="preserve">This document outlines a policy for the </w:t>
      </w:r>
      <w:proofErr w:type="spellStart"/>
      <w:r w:rsidR="00EB1088" w:rsidRPr="00EB1088">
        <w:rPr>
          <w:sz w:val="20"/>
        </w:rPr>
        <w:t>Taxandria</w:t>
      </w:r>
      <w:proofErr w:type="spellEnd"/>
      <w:r w:rsidR="00EB1088" w:rsidRPr="00EB1088">
        <w:rPr>
          <w:sz w:val="20"/>
        </w:rPr>
        <w:t xml:space="preserve"> Falcons Soccer Club</w:t>
      </w:r>
      <w:r w:rsidRPr="00EB1088">
        <w:rPr>
          <w:sz w:val="20"/>
        </w:rPr>
        <w:t>, in accordance with the Accessibility for Ontarians with Disabilities Act (</w:t>
      </w:r>
      <w:proofErr w:type="spellStart"/>
      <w:r w:rsidRPr="00EB1088">
        <w:rPr>
          <w:sz w:val="20"/>
        </w:rPr>
        <w:t>AODA</w:t>
      </w:r>
      <w:proofErr w:type="spellEnd"/>
      <w:r w:rsidRPr="00EB1088">
        <w:rPr>
          <w:sz w:val="20"/>
        </w:rPr>
        <w:t>) in Ontario, Canada. The policy aims to ensure that the organization provides goods and services to individuals w</w:t>
      </w:r>
      <w:r w:rsidRPr="00EB1088">
        <w:rPr>
          <w:sz w:val="20"/>
        </w:rPr>
        <w:t xml:space="preserve">ith disabilities in an accessible and inclusive manner. </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1. Definitions:</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 xml:space="preserve">The following terms have these meanings in this policy: </w:t>
      </w:r>
    </w:p>
    <w:p w:rsidR="00EB1088" w:rsidRPr="00EB1088" w:rsidRDefault="0038062C" w:rsidP="00EB1088">
      <w:pPr>
        <w:pStyle w:val="ListParagraph"/>
        <w:numPr>
          <w:ilvl w:val="0"/>
          <w:numId w:val="1"/>
        </w:numPr>
        <w:jc w:val="both"/>
        <w:rPr>
          <w:sz w:val="20"/>
        </w:rPr>
      </w:pPr>
      <w:r w:rsidRPr="00EB1088">
        <w:rPr>
          <w:sz w:val="20"/>
        </w:rPr>
        <w:t>“Assistive Devices” – An auxiliary aid such as communication aids, cognition aids, personal mobility aids and medical aid</w:t>
      </w:r>
      <w:r w:rsidRPr="00EB1088">
        <w:rPr>
          <w:sz w:val="20"/>
        </w:rPr>
        <w:t>s (</w:t>
      </w:r>
      <w:proofErr w:type="spellStart"/>
      <w:r w:rsidRPr="00EB1088">
        <w:rPr>
          <w:sz w:val="20"/>
        </w:rPr>
        <w:t>ie</w:t>
      </w:r>
      <w:proofErr w:type="spellEnd"/>
      <w:r w:rsidRPr="00EB1088">
        <w:rPr>
          <w:sz w:val="20"/>
        </w:rPr>
        <w:t>: canes, crutches,</w:t>
      </w:r>
      <w:r w:rsidR="00EB1088" w:rsidRPr="00EB1088">
        <w:rPr>
          <w:sz w:val="20"/>
        </w:rPr>
        <w:t xml:space="preserve"> wheelchairs, or hearing aids).</w:t>
      </w:r>
    </w:p>
    <w:p w:rsidR="00EB1088" w:rsidRPr="00EB1088" w:rsidRDefault="00EB1088" w:rsidP="00EB1088">
      <w:pPr>
        <w:pStyle w:val="ListParagraph"/>
        <w:jc w:val="both"/>
        <w:rPr>
          <w:sz w:val="20"/>
        </w:rPr>
      </w:pPr>
    </w:p>
    <w:p w:rsidR="00EB1088" w:rsidRPr="00EB1088" w:rsidRDefault="0038062C" w:rsidP="00EB1088">
      <w:pPr>
        <w:pStyle w:val="ListParagraph"/>
        <w:numPr>
          <w:ilvl w:val="0"/>
          <w:numId w:val="1"/>
        </w:numPr>
        <w:jc w:val="both"/>
        <w:rPr>
          <w:sz w:val="20"/>
        </w:rPr>
      </w:pPr>
      <w:r w:rsidRPr="00EB1088">
        <w:rPr>
          <w:sz w:val="20"/>
        </w:rPr>
        <w:t xml:space="preserve"> “Disabilities” – As per the Ontario Human Rights Code, disability means: </w:t>
      </w:r>
    </w:p>
    <w:p w:rsidR="00EB1088" w:rsidRPr="00EB1088" w:rsidRDefault="00EB1088" w:rsidP="00EB1088">
      <w:pPr>
        <w:pStyle w:val="ListParagraph"/>
        <w:jc w:val="both"/>
        <w:rPr>
          <w:sz w:val="20"/>
        </w:rPr>
      </w:pPr>
    </w:p>
    <w:p w:rsidR="00EB1088" w:rsidRPr="00EB1088" w:rsidRDefault="0038062C" w:rsidP="00EB1088">
      <w:pPr>
        <w:pStyle w:val="ListParagraph"/>
        <w:numPr>
          <w:ilvl w:val="2"/>
          <w:numId w:val="1"/>
        </w:numPr>
        <w:ind w:left="1080"/>
        <w:jc w:val="both"/>
        <w:rPr>
          <w:sz w:val="20"/>
        </w:rPr>
      </w:pPr>
      <w:r w:rsidRPr="00EB1088">
        <w:rPr>
          <w:sz w:val="20"/>
        </w:rPr>
        <w:t xml:space="preserve"> any degree of physical disability, infirmity, malformation or disfigurement that is caused by bodily injury, birth defe</w:t>
      </w:r>
      <w:r w:rsidRPr="00EB1088">
        <w:rPr>
          <w:sz w:val="20"/>
        </w:rPr>
        <w:t>ct or illness and, without limiting the generality of the foregoing, includes diabetes mellitus, epilepsy, a brain injury, any degree of paralysis, amputation, lack of physical coordination, blindness or visual impairment, deafness or hearing impediment, m</w:t>
      </w:r>
      <w:r w:rsidRPr="00EB1088">
        <w:rPr>
          <w:sz w:val="20"/>
        </w:rPr>
        <w:t xml:space="preserve">uteness or speech impediment, or physical reliance on a guide dog or other animal or on a wheelchair or other remedial appliance or device; </w:t>
      </w:r>
    </w:p>
    <w:p w:rsidR="00EB1088" w:rsidRPr="00EB1088" w:rsidRDefault="0038062C" w:rsidP="00EB1088">
      <w:pPr>
        <w:pStyle w:val="ListParagraph"/>
        <w:numPr>
          <w:ilvl w:val="2"/>
          <w:numId w:val="1"/>
        </w:numPr>
        <w:ind w:left="1080"/>
        <w:jc w:val="both"/>
        <w:rPr>
          <w:sz w:val="20"/>
        </w:rPr>
      </w:pPr>
      <w:r w:rsidRPr="00EB1088">
        <w:rPr>
          <w:sz w:val="20"/>
        </w:rPr>
        <w:t xml:space="preserve">a condition of mental impairment or a developmental disability; </w:t>
      </w:r>
    </w:p>
    <w:p w:rsidR="00EB1088" w:rsidRPr="00EB1088" w:rsidRDefault="0038062C" w:rsidP="00EB1088">
      <w:pPr>
        <w:pStyle w:val="ListParagraph"/>
        <w:numPr>
          <w:ilvl w:val="2"/>
          <w:numId w:val="1"/>
        </w:numPr>
        <w:ind w:left="1080"/>
        <w:jc w:val="both"/>
        <w:rPr>
          <w:sz w:val="20"/>
        </w:rPr>
      </w:pPr>
      <w:r w:rsidRPr="00EB1088">
        <w:rPr>
          <w:sz w:val="20"/>
        </w:rPr>
        <w:t>a learning disability or a dysfunction in</w:t>
      </w:r>
      <w:r w:rsidRPr="00EB1088">
        <w:rPr>
          <w:sz w:val="20"/>
        </w:rPr>
        <w:t xml:space="preserve"> one or more of the processes involved in understanding or using symbols or spoken language; </w:t>
      </w:r>
    </w:p>
    <w:p w:rsidR="00EB1088" w:rsidRPr="00EB1088" w:rsidRDefault="00EB1088" w:rsidP="00EB1088">
      <w:pPr>
        <w:pStyle w:val="ListParagraph"/>
        <w:numPr>
          <w:ilvl w:val="2"/>
          <w:numId w:val="1"/>
        </w:numPr>
        <w:ind w:left="1080"/>
        <w:jc w:val="both"/>
        <w:rPr>
          <w:sz w:val="20"/>
        </w:rPr>
      </w:pPr>
      <w:r w:rsidRPr="00EB1088">
        <w:rPr>
          <w:sz w:val="20"/>
        </w:rPr>
        <w:t>a mental disorder; or</w:t>
      </w:r>
    </w:p>
    <w:p w:rsidR="00EB1088" w:rsidRPr="00EB1088" w:rsidRDefault="0038062C" w:rsidP="00EB1088">
      <w:pPr>
        <w:pStyle w:val="ListParagraph"/>
        <w:numPr>
          <w:ilvl w:val="2"/>
          <w:numId w:val="1"/>
        </w:numPr>
        <w:ind w:left="1080"/>
        <w:jc w:val="both"/>
        <w:rPr>
          <w:sz w:val="20"/>
        </w:rPr>
      </w:pPr>
      <w:r w:rsidRPr="00EB1088">
        <w:rPr>
          <w:sz w:val="20"/>
        </w:rPr>
        <w:t xml:space="preserve"> an injury or disability for which benefits were claimed or received under the insurance plan established under the Workplace Safe an</w:t>
      </w:r>
      <w:r w:rsidRPr="00EB1088">
        <w:rPr>
          <w:sz w:val="20"/>
        </w:rPr>
        <w:t>d In</w:t>
      </w:r>
      <w:r w:rsidR="00EB1088" w:rsidRPr="00EB1088">
        <w:rPr>
          <w:sz w:val="20"/>
        </w:rPr>
        <w:t>surance Act, 1997; (“handicap”)</w:t>
      </w:r>
    </w:p>
    <w:p w:rsidR="00EB1088" w:rsidRPr="00EB1088" w:rsidRDefault="00EB1088" w:rsidP="00EB1088">
      <w:pPr>
        <w:pStyle w:val="ListParagraph"/>
        <w:ind w:left="1080"/>
        <w:jc w:val="both"/>
        <w:rPr>
          <w:sz w:val="20"/>
        </w:rPr>
      </w:pPr>
    </w:p>
    <w:p w:rsidR="00EB1088" w:rsidRPr="00EB1088" w:rsidRDefault="0038062C" w:rsidP="00EB1088">
      <w:pPr>
        <w:pStyle w:val="ListParagraph"/>
        <w:numPr>
          <w:ilvl w:val="0"/>
          <w:numId w:val="1"/>
        </w:numPr>
        <w:jc w:val="both"/>
        <w:rPr>
          <w:sz w:val="20"/>
        </w:rPr>
      </w:pPr>
      <w:r w:rsidRPr="00EB1088">
        <w:rPr>
          <w:sz w:val="20"/>
        </w:rPr>
        <w:t>“Employees” – Every person who deals with members of the public or other third parties on behalf</w:t>
      </w:r>
      <w:r w:rsidR="00EB1088" w:rsidRPr="00EB1088">
        <w:rPr>
          <w:sz w:val="20"/>
        </w:rPr>
        <w:t xml:space="preserve"> of </w:t>
      </w:r>
      <w:proofErr w:type="spellStart"/>
      <w:r w:rsidR="00EB1088" w:rsidRPr="00EB1088">
        <w:rPr>
          <w:sz w:val="20"/>
        </w:rPr>
        <w:t>Taxandria</w:t>
      </w:r>
      <w:proofErr w:type="spellEnd"/>
      <w:r w:rsidR="00EB1088" w:rsidRPr="00EB1088">
        <w:rPr>
          <w:sz w:val="20"/>
        </w:rPr>
        <w:t xml:space="preserve"> Soccer Club</w:t>
      </w:r>
      <w:r w:rsidRPr="00EB1088">
        <w:rPr>
          <w:sz w:val="20"/>
        </w:rPr>
        <w:t xml:space="preserve">, whether the person does so as an employee, agent, volunteer or otherwise. </w:t>
      </w:r>
    </w:p>
    <w:p w:rsidR="00EB1088" w:rsidRPr="00EB1088" w:rsidRDefault="00EB1088" w:rsidP="00EB1088">
      <w:pPr>
        <w:pStyle w:val="ListParagraph"/>
        <w:jc w:val="both"/>
        <w:rPr>
          <w:sz w:val="20"/>
        </w:rPr>
      </w:pPr>
    </w:p>
    <w:p w:rsidR="00EB1088" w:rsidRPr="00EB1088" w:rsidRDefault="00EB1088" w:rsidP="00EB1088">
      <w:pPr>
        <w:pStyle w:val="ListParagraph"/>
        <w:numPr>
          <w:ilvl w:val="0"/>
          <w:numId w:val="1"/>
        </w:numPr>
        <w:jc w:val="both"/>
        <w:rPr>
          <w:sz w:val="20"/>
        </w:rPr>
      </w:pPr>
      <w:r w:rsidRPr="00EB1088">
        <w:rPr>
          <w:sz w:val="20"/>
        </w:rPr>
        <w:t>“</w:t>
      </w:r>
      <w:r w:rsidR="0038062C" w:rsidRPr="00EB1088">
        <w:rPr>
          <w:sz w:val="20"/>
        </w:rPr>
        <w:t>Orga</w:t>
      </w:r>
      <w:r w:rsidRPr="00EB1088">
        <w:rPr>
          <w:sz w:val="20"/>
        </w:rPr>
        <w:t xml:space="preserve">nization”- </w:t>
      </w:r>
      <w:proofErr w:type="spellStart"/>
      <w:r w:rsidRPr="00EB1088">
        <w:rPr>
          <w:sz w:val="20"/>
        </w:rPr>
        <w:t>Taxandria</w:t>
      </w:r>
      <w:proofErr w:type="spellEnd"/>
      <w:r w:rsidRPr="00EB1088">
        <w:rPr>
          <w:sz w:val="20"/>
        </w:rPr>
        <w:t xml:space="preserve"> Falcons Soccer Club</w:t>
      </w:r>
      <w:r w:rsidR="0038062C" w:rsidRPr="00EB1088">
        <w:rPr>
          <w:sz w:val="20"/>
        </w:rPr>
        <w:t xml:space="preserve"> </w:t>
      </w:r>
    </w:p>
    <w:p w:rsidR="00EB1088" w:rsidRPr="00EB1088" w:rsidRDefault="00EB1088" w:rsidP="00EB1088">
      <w:pPr>
        <w:pStyle w:val="ListParagraph"/>
        <w:jc w:val="both"/>
        <w:rPr>
          <w:sz w:val="20"/>
        </w:rPr>
      </w:pPr>
    </w:p>
    <w:p w:rsidR="00EB1088" w:rsidRPr="00EB1088" w:rsidRDefault="0038062C" w:rsidP="00EB1088">
      <w:pPr>
        <w:pStyle w:val="ListParagraph"/>
        <w:numPr>
          <w:ilvl w:val="0"/>
          <w:numId w:val="1"/>
        </w:numPr>
        <w:jc w:val="both"/>
        <w:rPr>
          <w:sz w:val="20"/>
        </w:rPr>
      </w:pPr>
      <w:r w:rsidRPr="00EB1088">
        <w:rPr>
          <w:sz w:val="20"/>
        </w:rPr>
        <w:t xml:space="preserve">“Persons with Disabilities” – Individuals who are afflicted with a disability as defined under the Ontario Human Rights Code (noted above). </w:t>
      </w:r>
    </w:p>
    <w:p w:rsidR="00EB1088" w:rsidRPr="00EB1088" w:rsidRDefault="0038062C" w:rsidP="00EB1088">
      <w:pPr>
        <w:pStyle w:val="ListParagraph"/>
        <w:numPr>
          <w:ilvl w:val="0"/>
          <w:numId w:val="1"/>
        </w:numPr>
        <w:jc w:val="both"/>
        <w:rPr>
          <w:sz w:val="20"/>
        </w:rPr>
      </w:pPr>
      <w:r w:rsidRPr="00EB1088">
        <w:rPr>
          <w:sz w:val="20"/>
        </w:rPr>
        <w:t>“Service Animals” – Any animal individually trained to do work or perform</w:t>
      </w:r>
      <w:r w:rsidRPr="00EB1088">
        <w:rPr>
          <w:sz w:val="20"/>
        </w:rPr>
        <w:t xml:space="preserve"> tasks for the benefit of a person with a disability. </w:t>
      </w:r>
    </w:p>
    <w:p w:rsidR="00EB1088" w:rsidRPr="00EB1088" w:rsidRDefault="00EB1088" w:rsidP="00EB1088">
      <w:pPr>
        <w:pStyle w:val="ListParagraph"/>
        <w:jc w:val="both"/>
        <w:rPr>
          <w:sz w:val="20"/>
        </w:rPr>
      </w:pPr>
    </w:p>
    <w:p w:rsidR="008820B9" w:rsidRPr="00EB1088" w:rsidRDefault="0038062C" w:rsidP="00EB1088">
      <w:pPr>
        <w:pStyle w:val="ListParagraph"/>
        <w:numPr>
          <w:ilvl w:val="0"/>
          <w:numId w:val="1"/>
        </w:numPr>
        <w:jc w:val="both"/>
        <w:rPr>
          <w:sz w:val="20"/>
        </w:rPr>
      </w:pPr>
      <w:r w:rsidRPr="00EB1088">
        <w:rPr>
          <w:sz w:val="20"/>
        </w:rPr>
        <w:t xml:space="preserve"> “Support Persons” – Any person whether a paid professional, volunteer, family member, or friend who accompanies a person with a disability in order to help with communications, personal care or med</w:t>
      </w:r>
      <w:r w:rsidRPr="00EB1088">
        <w:rPr>
          <w:sz w:val="20"/>
        </w:rPr>
        <w:t xml:space="preserve">ical needs, or with access to goods or services. </w:t>
      </w:r>
    </w:p>
    <w:p w:rsidR="008820B9" w:rsidRPr="00EB1088" w:rsidRDefault="008820B9" w:rsidP="00EB1088">
      <w:pPr>
        <w:jc w:val="both"/>
        <w:rPr>
          <w:sz w:val="20"/>
        </w:rPr>
      </w:pPr>
    </w:p>
    <w:p w:rsidR="008820B9" w:rsidRPr="00EB1088" w:rsidRDefault="00EB1088" w:rsidP="00EB1088">
      <w:pPr>
        <w:jc w:val="both"/>
        <w:rPr>
          <w:sz w:val="20"/>
        </w:rPr>
      </w:pPr>
      <w:r w:rsidRPr="00EB1088">
        <w:rPr>
          <w:sz w:val="20"/>
        </w:rPr>
        <w:t xml:space="preserve">2. </w:t>
      </w:r>
      <w:r w:rsidR="0038062C" w:rsidRPr="00EB1088">
        <w:rPr>
          <w:sz w:val="20"/>
        </w:rPr>
        <w:t xml:space="preserve">Purpose: The purpose of the policy is to fulfill the requirements of the </w:t>
      </w:r>
      <w:proofErr w:type="spellStart"/>
      <w:r w:rsidR="0038062C" w:rsidRPr="00EB1088">
        <w:rPr>
          <w:sz w:val="20"/>
        </w:rPr>
        <w:t>AODA</w:t>
      </w:r>
      <w:proofErr w:type="spellEnd"/>
      <w:r w:rsidR="0038062C" w:rsidRPr="00EB1088">
        <w:rPr>
          <w:sz w:val="20"/>
        </w:rPr>
        <w:t xml:space="preserve"> and establish guidelines for the provision of goods and services to individuals with disabilities.</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3. Scope and Application: The policy applies to all individuals who interact with the public or third parties on behalf of the organization, including employees, agents, volunteers, and others. Non-compliance may result in disciplinary action.</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4. Commitme</w:t>
      </w:r>
      <w:r w:rsidRPr="00EB1088">
        <w:rPr>
          <w:sz w:val="20"/>
        </w:rPr>
        <w:t>nt: The organization is committed to serving all customers/members, including those with disabilities, with excellence. The policy emphasizes principles of dignity, independence, integration, and equal opportunity.</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5. Practices and Procedures: The organiz</w:t>
      </w:r>
      <w:r w:rsidRPr="00EB1088">
        <w:rPr>
          <w:sz w:val="20"/>
        </w:rPr>
        <w:t>ation will establish, evaluate, and revise practices and procedures to ensure compliance with the policy. The core principles of dignity, independence, integration, and equal opportunity guide these practices.</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6. Assistive Devices: The organization will e</w:t>
      </w:r>
      <w:r w:rsidRPr="00EB1088">
        <w:rPr>
          <w:sz w:val="20"/>
        </w:rPr>
        <w:t>nsure that staff members are trained and familiar with various assistive devices used by customers/members with disabilities. Individuals with disabilities are allowed to use their own assistive devices when accessing goods or services.</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 xml:space="preserve">7. Communication: </w:t>
      </w:r>
      <w:r w:rsidRPr="00EB1088">
        <w:rPr>
          <w:sz w:val="20"/>
        </w:rPr>
        <w:t>The organization will offer different methods of communication to accommodate individuals with disabilities.</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8. Service Animals: The organization welcomes individuals with disabilities and their service animals on parts of their premises open to the publi</w:t>
      </w:r>
      <w:r w:rsidRPr="00EB1088">
        <w:rPr>
          <w:sz w:val="20"/>
        </w:rPr>
        <w:t>c. Examples of service animals include guide dogs, hearing alert animals, and animals trained to assist individuals during seizures. The policy outlines guidelines for accommodating service animals, but also allows for reasonable alternative arrangements w</w:t>
      </w:r>
      <w:r w:rsidRPr="00EB1088">
        <w:rPr>
          <w:sz w:val="20"/>
        </w:rPr>
        <w:t>hen necessary.</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9. Support Persons: People with disabilities are allowed to be accompanied by support persons, such as interpreters or personal support workers. Support persons receive free admission to the goods and services being accessed.</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10. Notice of</w:t>
      </w:r>
      <w:r w:rsidRPr="00EB1088">
        <w:rPr>
          <w:sz w:val="20"/>
        </w:rPr>
        <w:t xml:space="preserve"> Temporary Disruption: In case of planned or unexpected disruptions that affect access for individuals with disabilities, the organization will provide notice to customers/members. This notice will include information about the disruption, its duration, an</w:t>
      </w:r>
      <w:r w:rsidRPr="00EB1088">
        <w:rPr>
          <w:sz w:val="20"/>
        </w:rPr>
        <w:t>d alternative facilities or services if available. The notice will be posted on the organization's website.</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11. Training for Staff: The organization provides training to employees, volunteers, and others who interact with the public. The training covers a</w:t>
      </w:r>
      <w:r w:rsidRPr="00EB1088">
        <w:rPr>
          <w:sz w:val="20"/>
        </w:rPr>
        <w:t xml:space="preserve">n overview of the </w:t>
      </w:r>
      <w:proofErr w:type="spellStart"/>
      <w:r w:rsidRPr="00EB1088">
        <w:rPr>
          <w:sz w:val="20"/>
        </w:rPr>
        <w:t>AODA</w:t>
      </w:r>
      <w:proofErr w:type="spellEnd"/>
      <w:r w:rsidRPr="00EB1088">
        <w:rPr>
          <w:sz w:val="20"/>
        </w:rPr>
        <w:t>, the organization's accessibility standards, communication with people with disabilities, use of assistive devices and service animals, and how to assist individuals who have difficulty accessing goods and services.</w:t>
      </w:r>
    </w:p>
    <w:p w:rsidR="008820B9" w:rsidRPr="00EB1088" w:rsidRDefault="008820B9" w:rsidP="00EB1088">
      <w:pPr>
        <w:jc w:val="both"/>
        <w:rPr>
          <w:sz w:val="20"/>
        </w:rPr>
      </w:pPr>
    </w:p>
    <w:p w:rsidR="008820B9" w:rsidRPr="00EB1088" w:rsidRDefault="0038062C" w:rsidP="00EB1088">
      <w:pPr>
        <w:jc w:val="both"/>
        <w:rPr>
          <w:sz w:val="20"/>
        </w:rPr>
      </w:pPr>
      <w:r w:rsidRPr="00EB1088">
        <w:rPr>
          <w:sz w:val="20"/>
        </w:rPr>
        <w:t>12. Feedback P</w:t>
      </w:r>
      <w:r w:rsidRPr="00EB1088">
        <w:rPr>
          <w:sz w:val="20"/>
        </w:rPr>
        <w:t xml:space="preserve">rocess: The organization encourages feedback on its provision of goods and services to individuals with disabilities. Contact information is provided for submitting feedback, and the organization commits to responding within seven days. Complaints will be </w:t>
      </w:r>
      <w:r w:rsidRPr="00EB1088">
        <w:rPr>
          <w:sz w:val="20"/>
        </w:rPr>
        <w:t>handled according to the organization's complaint management procedures.</w:t>
      </w:r>
    </w:p>
    <w:p w:rsidR="008820B9" w:rsidRPr="00EB1088" w:rsidRDefault="008820B9" w:rsidP="00EB1088">
      <w:pPr>
        <w:jc w:val="both"/>
        <w:rPr>
          <w:sz w:val="20"/>
        </w:rPr>
      </w:pPr>
    </w:p>
    <w:p w:rsidR="008820B9" w:rsidRPr="00EB1088" w:rsidRDefault="0038062C" w:rsidP="00EB1088">
      <w:pPr>
        <w:jc w:val="both"/>
      </w:pPr>
      <w:r w:rsidRPr="00EB1088">
        <w:rPr>
          <w:sz w:val="20"/>
        </w:rPr>
        <w:t xml:space="preserve">13. Provision of Documentation: Upon request, the organization will provide a copy of the policies, practices, and procedures required by the </w:t>
      </w:r>
      <w:proofErr w:type="spellStart"/>
      <w:r w:rsidRPr="00EB1088">
        <w:rPr>
          <w:sz w:val="20"/>
        </w:rPr>
        <w:t>AODA</w:t>
      </w:r>
      <w:proofErr w:type="spellEnd"/>
      <w:r w:rsidRPr="00EB1088">
        <w:rPr>
          <w:sz w:val="20"/>
        </w:rPr>
        <w:t xml:space="preserve"> to any person, in a mutually agreed</w:t>
      </w:r>
      <w:r w:rsidRPr="00EB1088">
        <w:rPr>
          <w:sz w:val="20"/>
        </w:rPr>
        <w:t xml:space="preserve"> format.</w:t>
      </w:r>
      <w:bookmarkStart w:id="0" w:name="_GoBack"/>
      <w:bookmarkEnd w:id="0"/>
    </w:p>
    <w:sectPr w:rsidR="008820B9" w:rsidRPr="00EB1088" w:rsidSect="00EB1088">
      <w:headerReference w:type="default" r:id="rId8"/>
      <w:pgSz w:w="12240" w:h="15840"/>
      <w:pgMar w:top="1440" w:right="1440" w:bottom="1440" w:left="144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62C" w:rsidRDefault="0038062C">
      <w:pPr>
        <w:spacing w:line="240" w:lineRule="auto"/>
      </w:pPr>
      <w:r>
        <w:separator/>
      </w:r>
    </w:p>
  </w:endnote>
  <w:endnote w:type="continuationSeparator" w:id="0">
    <w:p w:rsidR="0038062C" w:rsidRDefault="00380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62C" w:rsidRDefault="0038062C">
      <w:pPr>
        <w:spacing w:line="240" w:lineRule="auto"/>
      </w:pPr>
      <w:r>
        <w:separator/>
      </w:r>
    </w:p>
  </w:footnote>
  <w:footnote w:type="continuationSeparator" w:id="0">
    <w:p w:rsidR="0038062C" w:rsidRDefault="003806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B9" w:rsidRDefault="008820B9">
    <w:pPr>
      <w:tabs>
        <w:tab w:val="center" w:pos="4680"/>
        <w:tab w:val="right"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238"/>
    <w:multiLevelType w:val="hybridMultilevel"/>
    <w:tmpl w:val="AB34740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CC31BD3"/>
    <w:multiLevelType w:val="hybridMultilevel"/>
    <w:tmpl w:val="20E8E47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685241"/>
    <w:multiLevelType w:val="hybridMultilevel"/>
    <w:tmpl w:val="A29845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E0702A9"/>
    <w:multiLevelType w:val="hybridMultilevel"/>
    <w:tmpl w:val="6A20BF1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F425109"/>
    <w:multiLevelType w:val="hybridMultilevel"/>
    <w:tmpl w:val="87C2A9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B9"/>
    <w:rsid w:val="0038062C"/>
    <w:rsid w:val="008820B9"/>
    <w:rsid w:val="00EB10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8C05"/>
  <w15:docId w15:val="{FC7153B3-BF6B-4A60-A6F9-B4583CBE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B1088"/>
    <w:pPr>
      <w:tabs>
        <w:tab w:val="center" w:pos="4680"/>
        <w:tab w:val="right" w:pos="9360"/>
      </w:tabs>
      <w:spacing w:line="240" w:lineRule="auto"/>
    </w:pPr>
  </w:style>
  <w:style w:type="character" w:customStyle="1" w:styleId="HeaderChar">
    <w:name w:val="Header Char"/>
    <w:basedOn w:val="DefaultParagraphFont"/>
    <w:link w:val="Header"/>
    <w:uiPriority w:val="99"/>
    <w:rsid w:val="00EB1088"/>
  </w:style>
  <w:style w:type="paragraph" w:styleId="Footer">
    <w:name w:val="footer"/>
    <w:basedOn w:val="Normal"/>
    <w:link w:val="FooterChar"/>
    <w:uiPriority w:val="99"/>
    <w:unhideWhenUsed/>
    <w:rsid w:val="00EB1088"/>
    <w:pPr>
      <w:tabs>
        <w:tab w:val="center" w:pos="4680"/>
        <w:tab w:val="right" w:pos="9360"/>
      </w:tabs>
      <w:spacing w:line="240" w:lineRule="auto"/>
    </w:pPr>
  </w:style>
  <w:style w:type="character" w:customStyle="1" w:styleId="FooterChar">
    <w:name w:val="Footer Char"/>
    <w:basedOn w:val="DefaultParagraphFont"/>
    <w:link w:val="Footer"/>
    <w:uiPriority w:val="99"/>
    <w:rsid w:val="00EB1088"/>
  </w:style>
  <w:style w:type="character" w:customStyle="1" w:styleId="TitleChar">
    <w:name w:val="Title Char"/>
    <w:basedOn w:val="DefaultParagraphFont"/>
    <w:link w:val="Title"/>
    <w:uiPriority w:val="10"/>
    <w:rsid w:val="00EB1088"/>
    <w:rPr>
      <w:sz w:val="52"/>
      <w:szCs w:val="52"/>
    </w:rPr>
  </w:style>
  <w:style w:type="paragraph" w:styleId="ListParagraph">
    <w:name w:val="List Paragraph"/>
    <w:basedOn w:val="Normal"/>
    <w:uiPriority w:val="34"/>
    <w:qFormat/>
    <w:rsid w:val="00EB1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2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Genna Van Aert</cp:lastModifiedBy>
  <cp:revision>2</cp:revision>
  <dcterms:created xsi:type="dcterms:W3CDTF">2024-10-22T14:37:00Z</dcterms:created>
  <dcterms:modified xsi:type="dcterms:W3CDTF">2024-10-22T14:44:00Z</dcterms:modified>
</cp:coreProperties>
</file>